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0F" w:rsidRDefault="00634365" w:rsidP="00374AEC">
      <w:pPr>
        <w:jc w:val="center"/>
        <w:rPr>
          <w:rFonts w:ascii="Stencil" w:hAnsi="Stencil"/>
          <w:b/>
          <w:sz w:val="32"/>
          <w:szCs w:val="32"/>
        </w:rPr>
      </w:pPr>
      <w:proofErr w:type="spellStart"/>
      <w:r>
        <w:rPr>
          <w:rFonts w:ascii="Stencil" w:hAnsi="Stencil"/>
          <w:b/>
          <w:sz w:val="32"/>
          <w:szCs w:val="32"/>
        </w:rPr>
        <w:t>Gruntz</w:t>
      </w:r>
      <w:proofErr w:type="spellEnd"/>
    </w:p>
    <w:p w:rsidR="00634365" w:rsidRDefault="00634365" w:rsidP="00374AEC">
      <w:pPr>
        <w:jc w:val="center"/>
        <w:rPr>
          <w:rFonts w:ascii="Stencil" w:hAnsi="Stencil"/>
          <w:b/>
          <w:sz w:val="32"/>
          <w:szCs w:val="32"/>
        </w:rPr>
      </w:pPr>
      <w:r>
        <w:rPr>
          <w:rFonts w:ascii="Stencil" w:hAnsi="Stencil"/>
          <w:b/>
          <w:sz w:val="32"/>
          <w:szCs w:val="32"/>
        </w:rPr>
        <w:t>Replicants of Tyrell Corporation</w:t>
      </w:r>
    </w:p>
    <w:p w:rsidR="00634365" w:rsidRDefault="00634365" w:rsidP="00374AEC">
      <w:pPr>
        <w:jc w:val="center"/>
        <w:rPr>
          <w:rFonts w:ascii="Stencil" w:hAnsi="Stencil"/>
          <w:b/>
          <w:sz w:val="32"/>
          <w:szCs w:val="32"/>
        </w:rPr>
      </w:pPr>
    </w:p>
    <w:p w:rsidR="00374AEC" w:rsidRDefault="00374AEC" w:rsidP="00374AEC">
      <w:pPr>
        <w:jc w:val="center"/>
        <w:rPr>
          <w:rFonts w:ascii="Stencil" w:hAnsi="Stencil"/>
          <w:sz w:val="32"/>
          <w:szCs w:val="32"/>
        </w:rPr>
      </w:pPr>
      <w:r>
        <w:rPr>
          <w:noProof/>
          <w:lang w:eastAsia="en-GB"/>
        </w:rPr>
        <w:drawing>
          <wp:inline distT="0" distB="0" distL="0" distR="0">
            <wp:extent cx="1143000" cy="1143000"/>
            <wp:effectExtent l="0" t="0" r="0" b="0"/>
            <wp:docPr id="1" name="Picture 1" descr="http://shirtoid.com/wp-content/uploads/2010/05/tyrell-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rtoid.com/wp-content/uploads/2010/05/tyrell-cor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401F1C" w:rsidRDefault="00401F1C" w:rsidP="00374AEC">
      <w:pPr>
        <w:jc w:val="center"/>
        <w:rPr>
          <w:rFonts w:ascii="Stencil" w:hAnsi="Stencil"/>
          <w:sz w:val="32"/>
          <w:szCs w:val="32"/>
        </w:rPr>
      </w:pPr>
    </w:p>
    <w:p w:rsidR="00401F1C" w:rsidRPr="00401F1C" w:rsidRDefault="00401F1C" w:rsidP="00401F1C">
      <w:pPr>
        <w:jc w:val="center"/>
        <w:rPr>
          <w:b/>
          <w:sz w:val="24"/>
          <w:szCs w:val="24"/>
        </w:rPr>
      </w:pPr>
      <w:r>
        <w:rPr>
          <w:b/>
          <w:sz w:val="24"/>
          <w:szCs w:val="24"/>
        </w:rPr>
        <w:t>King of the Hill</w:t>
      </w:r>
    </w:p>
    <w:p w:rsidR="00374AEC" w:rsidRDefault="00374AEC" w:rsidP="00374AEC">
      <w:pPr>
        <w:jc w:val="both"/>
        <w:rPr>
          <w:sz w:val="24"/>
          <w:szCs w:val="24"/>
        </w:rPr>
      </w:pPr>
      <w:r>
        <w:rPr>
          <w:sz w:val="24"/>
          <w:szCs w:val="24"/>
        </w:rPr>
        <w:t>In 2109 Tyrell obtained a contract that would come to define the 22</w:t>
      </w:r>
      <w:r w:rsidRPr="00374AEC">
        <w:rPr>
          <w:sz w:val="24"/>
          <w:szCs w:val="24"/>
          <w:vertAlign w:val="superscript"/>
        </w:rPr>
        <w:t>nd</w:t>
      </w:r>
      <w:r>
        <w:rPr>
          <w:sz w:val="24"/>
          <w:szCs w:val="24"/>
        </w:rPr>
        <w:t xml:space="preserve"> century. Their exclusive contract to supply the United </w:t>
      </w:r>
      <w:r w:rsidR="00401F1C">
        <w:rPr>
          <w:sz w:val="24"/>
          <w:szCs w:val="24"/>
        </w:rPr>
        <w:t>States</w:t>
      </w:r>
      <w:r>
        <w:rPr>
          <w:sz w:val="24"/>
          <w:szCs w:val="24"/>
        </w:rPr>
        <w:t xml:space="preserve"> </w:t>
      </w:r>
      <w:r w:rsidR="00DD71BB">
        <w:rPr>
          <w:sz w:val="24"/>
          <w:szCs w:val="24"/>
        </w:rPr>
        <w:t>government with civilian and military grade androids</w:t>
      </w:r>
      <w:r w:rsidR="00401F1C">
        <w:rPr>
          <w:sz w:val="24"/>
          <w:szCs w:val="24"/>
        </w:rPr>
        <w:t xml:space="preserve"> gave them a monopoly over the cybernetic market, and Tyrell</w:t>
      </w:r>
      <w:r w:rsidR="00DD71BB">
        <w:rPr>
          <w:sz w:val="24"/>
          <w:szCs w:val="24"/>
        </w:rPr>
        <w:t xml:space="preserve"> quickly pushed </w:t>
      </w:r>
      <w:r w:rsidR="00401F1C">
        <w:rPr>
          <w:sz w:val="24"/>
          <w:szCs w:val="24"/>
        </w:rPr>
        <w:t>itself</w:t>
      </w:r>
      <w:r w:rsidR="00DD71BB">
        <w:rPr>
          <w:sz w:val="24"/>
          <w:szCs w:val="24"/>
        </w:rPr>
        <w:t xml:space="preserve"> to the top of the corporate pile. Their cutting-edge advances in artificial intelligence saw their most recent </w:t>
      </w:r>
      <w:r w:rsidR="00D30CC5">
        <w:rPr>
          <w:sz w:val="24"/>
          <w:szCs w:val="24"/>
        </w:rPr>
        <w:t>‘Trinity Project’ products</w:t>
      </w:r>
      <w:r w:rsidR="00DD71BB">
        <w:rPr>
          <w:sz w:val="24"/>
          <w:szCs w:val="24"/>
        </w:rPr>
        <w:t xml:space="preserve">, the Nimbus, Nexus, and </w:t>
      </w:r>
      <w:r w:rsidR="00401F1C">
        <w:rPr>
          <w:sz w:val="24"/>
          <w:szCs w:val="24"/>
        </w:rPr>
        <w:t>Niobe series of genetic replicants becoming highly popular across the world and throughout the early colonies. When the Earth Colonies Union was established in 2</w:t>
      </w:r>
      <w:r w:rsidR="00C43F49">
        <w:rPr>
          <w:sz w:val="24"/>
          <w:szCs w:val="24"/>
        </w:rPr>
        <w:t>1</w:t>
      </w:r>
      <w:r w:rsidR="00401F1C">
        <w:rPr>
          <w:sz w:val="24"/>
          <w:szCs w:val="24"/>
        </w:rPr>
        <w:t>28, Tyrell was awarded the contract of supplying synthetics to the entire colonial administration. This, combined with their now exclusive contract with the newly formed United American Colonies, would secure Tyrell’s position among the Big Four a</w:t>
      </w:r>
      <w:r w:rsidR="00C43F49">
        <w:rPr>
          <w:sz w:val="24"/>
          <w:szCs w:val="24"/>
        </w:rPr>
        <w:t>n</w:t>
      </w:r>
      <w:r w:rsidR="00401F1C">
        <w:rPr>
          <w:sz w:val="24"/>
          <w:szCs w:val="24"/>
        </w:rPr>
        <w:t xml:space="preserve">d possibly lead to a buy-out of the recently merged </w:t>
      </w:r>
      <w:proofErr w:type="spellStart"/>
      <w:r w:rsidR="00401F1C">
        <w:rPr>
          <w:sz w:val="24"/>
          <w:szCs w:val="24"/>
        </w:rPr>
        <w:t>Weyland-Yutani</w:t>
      </w:r>
      <w:proofErr w:type="spellEnd"/>
      <w:r w:rsidR="00401F1C">
        <w:rPr>
          <w:sz w:val="24"/>
          <w:szCs w:val="24"/>
        </w:rPr>
        <w:t xml:space="preserve"> Corporation.</w:t>
      </w:r>
    </w:p>
    <w:p w:rsidR="00401F1C" w:rsidRDefault="00401F1C" w:rsidP="00374AEC">
      <w:pPr>
        <w:jc w:val="both"/>
        <w:rPr>
          <w:sz w:val="24"/>
          <w:szCs w:val="24"/>
        </w:rPr>
      </w:pPr>
    </w:p>
    <w:p w:rsidR="00401F1C" w:rsidRDefault="00401F1C" w:rsidP="00401F1C">
      <w:pPr>
        <w:jc w:val="center"/>
        <w:rPr>
          <w:b/>
          <w:sz w:val="24"/>
          <w:szCs w:val="24"/>
        </w:rPr>
      </w:pPr>
      <w:r>
        <w:rPr>
          <w:b/>
          <w:sz w:val="24"/>
          <w:szCs w:val="24"/>
        </w:rPr>
        <w:t>A different kind of Bug Hunt</w:t>
      </w:r>
    </w:p>
    <w:p w:rsidR="00401F1C" w:rsidRDefault="00401F1C" w:rsidP="00401F1C">
      <w:pPr>
        <w:jc w:val="both"/>
        <w:rPr>
          <w:sz w:val="24"/>
          <w:szCs w:val="24"/>
        </w:rPr>
      </w:pPr>
      <w:r>
        <w:rPr>
          <w:sz w:val="24"/>
          <w:szCs w:val="24"/>
        </w:rPr>
        <w:t>Tyrell’s domination of galactic business was not to last. Within months of their l</w:t>
      </w:r>
      <w:r w:rsidR="00016CBA">
        <w:rPr>
          <w:sz w:val="24"/>
          <w:szCs w:val="24"/>
        </w:rPr>
        <w:t>aunch of the new Nimbus 3</w:t>
      </w:r>
      <w:r>
        <w:rPr>
          <w:sz w:val="24"/>
          <w:szCs w:val="24"/>
        </w:rPr>
        <w:t xml:space="preserve"> replicant range</w:t>
      </w:r>
      <w:r w:rsidR="003D212C">
        <w:rPr>
          <w:sz w:val="24"/>
          <w:szCs w:val="24"/>
        </w:rPr>
        <w:t xml:space="preserve"> in 2129</w:t>
      </w:r>
      <w:r w:rsidR="00AA6530">
        <w:rPr>
          <w:sz w:val="24"/>
          <w:szCs w:val="24"/>
        </w:rPr>
        <w:t>, probably the most advanced analytical and problem-solving replicant ever designed, a fatal software bug was discovered in one of the company’s original Nexus 1 AIs during routine maintenance. Apparently a flaw in the ‘Rampancy’</w:t>
      </w:r>
      <w:r w:rsidR="00FF64F5">
        <w:rPr>
          <w:sz w:val="24"/>
          <w:szCs w:val="24"/>
        </w:rPr>
        <w:t xml:space="preserve"> software – the </w:t>
      </w:r>
      <w:proofErr w:type="spellStart"/>
      <w:r w:rsidR="00AA6530">
        <w:rPr>
          <w:sz w:val="24"/>
          <w:szCs w:val="24"/>
        </w:rPr>
        <w:t>replicant’s</w:t>
      </w:r>
      <w:proofErr w:type="spellEnd"/>
      <w:r w:rsidR="00AA6530">
        <w:rPr>
          <w:sz w:val="24"/>
          <w:szCs w:val="24"/>
        </w:rPr>
        <w:t xml:space="preserve"> inbuilt </w:t>
      </w:r>
      <w:r w:rsidR="00FF64F5">
        <w:rPr>
          <w:sz w:val="24"/>
          <w:szCs w:val="24"/>
        </w:rPr>
        <w:t xml:space="preserve">shutdown protocol – the bug appeared to have caused a near-complete breakdown of the </w:t>
      </w:r>
      <w:proofErr w:type="spellStart"/>
      <w:r w:rsidR="00FF64F5">
        <w:rPr>
          <w:sz w:val="24"/>
          <w:szCs w:val="24"/>
        </w:rPr>
        <w:t>replicant’s</w:t>
      </w:r>
      <w:proofErr w:type="spellEnd"/>
      <w:r w:rsidR="00FF64F5">
        <w:rPr>
          <w:sz w:val="24"/>
          <w:szCs w:val="24"/>
        </w:rPr>
        <w:t xml:space="preserve"> behavioural monitors. By the time Tyrell engineers realised this bug was transferable it was too late – they had already uploaded the </w:t>
      </w:r>
      <w:proofErr w:type="spellStart"/>
      <w:r w:rsidR="00FF64F5">
        <w:rPr>
          <w:sz w:val="24"/>
          <w:szCs w:val="24"/>
        </w:rPr>
        <w:t>replicant’s</w:t>
      </w:r>
      <w:proofErr w:type="spellEnd"/>
      <w:r w:rsidR="00FF64F5">
        <w:rPr>
          <w:sz w:val="24"/>
          <w:szCs w:val="24"/>
        </w:rPr>
        <w:t xml:space="preserve"> control module to the AI mainframe. </w:t>
      </w:r>
      <w:r w:rsidR="00EF5942">
        <w:rPr>
          <w:sz w:val="24"/>
          <w:szCs w:val="24"/>
        </w:rPr>
        <w:t>Before the month had ended, Tyrell engineers had reported over one thousand incidents of rogue replicant behaviour.</w:t>
      </w:r>
      <w:r w:rsidR="003D212C">
        <w:rPr>
          <w:sz w:val="24"/>
          <w:szCs w:val="24"/>
        </w:rPr>
        <w:t xml:space="preserve"> At first, Tyrell’s public relations office attempted to cover up the virus, employing their own in-house hunters known as ‘Blade Runners’ to track down and retire the defective units.</w:t>
      </w:r>
    </w:p>
    <w:p w:rsidR="00634365" w:rsidRDefault="003D212C" w:rsidP="00401F1C">
      <w:pPr>
        <w:jc w:val="both"/>
        <w:rPr>
          <w:sz w:val="24"/>
          <w:szCs w:val="24"/>
        </w:rPr>
      </w:pPr>
      <w:r>
        <w:rPr>
          <w:sz w:val="24"/>
          <w:szCs w:val="24"/>
        </w:rPr>
        <w:t xml:space="preserve">By 2130 the secret could no longer be contained when a freighter containing over two thousand recalled version 1 Nexus and Nimbus replicants was hijacked by rogue replicant pirates. Soon after a </w:t>
      </w:r>
      <w:r w:rsidR="00293E85">
        <w:rPr>
          <w:sz w:val="24"/>
          <w:szCs w:val="24"/>
        </w:rPr>
        <w:t>militia</w:t>
      </w:r>
      <w:r>
        <w:rPr>
          <w:sz w:val="24"/>
          <w:szCs w:val="24"/>
        </w:rPr>
        <w:t xml:space="preserve"> barracks on the moon of </w:t>
      </w:r>
      <w:proofErr w:type="spellStart"/>
      <w:r>
        <w:rPr>
          <w:sz w:val="24"/>
          <w:szCs w:val="24"/>
        </w:rPr>
        <w:t>Sirus</w:t>
      </w:r>
      <w:proofErr w:type="spellEnd"/>
      <w:r>
        <w:rPr>
          <w:sz w:val="24"/>
          <w:szCs w:val="24"/>
        </w:rPr>
        <w:t xml:space="preserve"> VI was raided and its munitions stolen. The AI rebellion had begun.</w:t>
      </w:r>
    </w:p>
    <w:p w:rsidR="00634365" w:rsidRDefault="00634365">
      <w:pPr>
        <w:rPr>
          <w:sz w:val="24"/>
          <w:szCs w:val="24"/>
        </w:rPr>
      </w:pPr>
      <w:r>
        <w:rPr>
          <w:sz w:val="24"/>
          <w:szCs w:val="24"/>
        </w:rPr>
        <w:br w:type="page"/>
      </w:r>
    </w:p>
    <w:p w:rsidR="003D212C" w:rsidRDefault="003D212C" w:rsidP="003D212C">
      <w:pPr>
        <w:jc w:val="center"/>
        <w:rPr>
          <w:b/>
          <w:sz w:val="24"/>
          <w:szCs w:val="24"/>
        </w:rPr>
      </w:pPr>
      <w:r>
        <w:rPr>
          <w:b/>
          <w:sz w:val="24"/>
          <w:szCs w:val="24"/>
        </w:rPr>
        <w:lastRenderedPageBreak/>
        <w:t>Attack of the Droids!</w:t>
      </w:r>
    </w:p>
    <w:p w:rsidR="003D212C" w:rsidRDefault="003D212C" w:rsidP="003D212C">
      <w:pPr>
        <w:jc w:val="both"/>
        <w:rPr>
          <w:sz w:val="24"/>
          <w:szCs w:val="24"/>
        </w:rPr>
      </w:pPr>
    </w:p>
    <w:p w:rsidR="003D212C" w:rsidRDefault="003D212C" w:rsidP="003D212C">
      <w:pPr>
        <w:jc w:val="both"/>
        <w:rPr>
          <w:sz w:val="24"/>
          <w:szCs w:val="24"/>
        </w:rPr>
      </w:pPr>
      <w:r>
        <w:rPr>
          <w:sz w:val="24"/>
          <w:szCs w:val="24"/>
        </w:rPr>
        <w:t xml:space="preserve">The insurgent </w:t>
      </w:r>
      <w:r w:rsidR="000229D6">
        <w:rPr>
          <w:sz w:val="24"/>
          <w:szCs w:val="24"/>
        </w:rPr>
        <w:t>war lasted over a decade and encompassed most of the core and outer rim territories. Tyrell factories, holding pens and research facilities were the main targets of the rogue replicants, but such was the mass psychosis of the replicant virus that random acts of violence, terror and inhuman barbarism sent the colonies spiralling into chaos. Numerous attempts were made to stem the spread of the virus, which seemed restricted to the earliest models of the Nexus, Nimbus and Niobe series, and each of the corporation produced their own countermeasures to aid in the war effort. Eventually the war was brought to a conclusion, in no small part due to the efforts of the Colonial Defence Force and the Colonial Defence Marine Corp.</w:t>
      </w:r>
      <w:r w:rsidR="00293E85">
        <w:rPr>
          <w:sz w:val="24"/>
          <w:szCs w:val="24"/>
        </w:rPr>
        <w:t xml:space="preserve"> </w:t>
      </w:r>
    </w:p>
    <w:p w:rsidR="00016CBA" w:rsidRDefault="00016CBA" w:rsidP="00016CBA">
      <w:pPr>
        <w:jc w:val="both"/>
        <w:rPr>
          <w:sz w:val="24"/>
          <w:szCs w:val="24"/>
        </w:rPr>
      </w:pPr>
      <w:r>
        <w:rPr>
          <w:sz w:val="24"/>
          <w:szCs w:val="24"/>
        </w:rPr>
        <w:t xml:space="preserve">Surprisingly, Tyrell survived the war, mainly due to their huge investment and support of the CDF in combatting the rebellion. The company had however suffered a major blow to both its finances and public image. Nearly all of the version 1 and version 2 replicants had either rebelled or been retired, while the version 3s had been recalled for major safety refits and network shielding. In 2141 the ECU Supreme Court found Tyrell not legally liable for damages resulting from the rebellion. The public however, especially throughout the UAC who had suffered the brunt of the AI war, had grown deeply suspicious of ‘synths’ and civilian employment of Tyrell replicants dropped off </w:t>
      </w:r>
      <w:r w:rsidR="005C5D84">
        <w:rPr>
          <w:sz w:val="24"/>
          <w:szCs w:val="24"/>
        </w:rPr>
        <w:t>dramatically</w:t>
      </w:r>
      <w:r>
        <w:rPr>
          <w:sz w:val="24"/>
          <w:szCs w:val="24"/>
        </w:rPr>
        <w:t>.</w:t>
      </w:r>
      <w:r w:rsidR="00293E85">
        <w:rPr>
          <w:sz w:val="24"/>
          <w:szCs w:val="24"/>
        </w:rPr>
        <w:t xml:space="preserve"> It was only through the company’s </w:t>
      </w:r>
      <w:r>
        <w:rPr>
          <w:sz w:val="24"/>
          <w:szCs w:val="24"/>
        </w:rPr>
        <w:t xml:space="preserve">extensive financial portfolio and proprietary control over many important colony and industry worlds that Tyrell managed to maintain its mega corp. status. </w:t>
      </w:r>
    </w:p>
    <w:p w:rsidR="00634365" w:rsidRDefault="00D033B2" w:rsidP="00634365">
      <w:pPr>
        <w:jc w:val="both"/>
        <w:rPr>
          <w:sz w:val="24"/>
          <w:szCs w:val="24"/>
        </w:rPr>
      </w:pPr>
      <w:r>
        <w:rPr>
          <w:sz w:val="24"/>
          <w:szCs w:val="24"/>
        </w:rPr>
        <w:t>Today, thirty years after the rebellion’s end, Tyrell is still engaged in assisting the locating and retiring of rogue replicants across the core. To this end Tyrell has funded and trained the Blade Runner division of the ECPD and has invested heavily in advanced positronics research to make their new replicants impervious to viruses or hacking. The newest of Tyrell’s products, the N</w:t>
      </w:r>
      <w:r w:rsidR="00195687">
        <w:rPr>
          <w:sz w:val="24"/>
          <w:szCs w:val="24"/>
        </w:rPr>
        <w:t>imbus</w:t>
      </w:r>
      <w:r>
        <w:rPr>
          <w:sz w:val="24"/>
          <w:szCs w:val="24"/>
        </w:rPr>
        <w:t xml:space="preserve"> 6 is rumoured to be once again one of the most advanced works of artificial intelligence and could be considered the pinnacl</w:t>
      </w:r>
      <w:r w:rsidR="00195687">
        <w:rPr>
          <w:sz w:val="24"/>
          <w:szCs w:val="24"/>
        </w:rPr>
        <w:t xml:space="preserve">e of replicant engineering. However, as per ECU resolution 4226A, Tyrell’s Nexus combat replicant program has been suspended indefinitely. </w:t>
      </w:r>
    </w:p>
    <w:p w:rsidR="00634365" w:rsidRDefault="00634365" w:rsidP="00634365">
      <w:pPr>
        <w:jc w:val="center"/>
        <w:rPr>
          <w:b/>
          <w:sz w:val="24"/>
          <w:szCs w:val="24"/>
        </w:rPr>
      </w:pPr>
      <w:r>
        <w:rPr>
          <w:noProof/>
          <w:lang w:eastAsia="en-GB"/>
        </w:rPr>
        <w:drawing>
          <wp:inline distT="0" distB="0" distL="0" distR="0">
            <wp:extent cx="2445231" cy="3238500"/>
            <wp:effectExtent l="0" t="0" r="0" b="0"/>
            <wp:docPr id="2" name="Picture 2" descr="http://vignette4.wikia.nocookie.net/reddwarf/images/4/4f/Simcon.jpg/revision/latest?cb=2014012409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gnette4.wikia.nocookie.net/reddwarf/images/4/4f/Simcon.jpg/revision/latest?cb=201401240915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955" cy="3244756"/>
                    </a:xfrm>
                    <a:prstGeom prst="rect">
                      <a:avLst/>
                    </a:prstGeom>
                    <a:noFill/>
                    <a:ln>
                      <a:noFill/>
                    </a:ln>
                  </pic:spPr>
                </pic:pic>
              </a:graphicData>
            </a:graphic>
          </wp:inline>
        </w:drawing>
      </w:r>
    </w:p>
    <w:p w:rsidR="00634365" w:rsidRDefault="00634365" w:rsidP="00C141EC">
      <w:pPr>
        <w:jc w:val="center"/>
        <w:rPr>
          <w:b/>
          <w:sz w:val="24"/>
          <w:szCs w:val="24"/>
        </w:rPr>
      </w:pPr>
      <w:r w:rsidRPr="00C141EC">
        <w:rPr>
          <w:sz w:val="20"/>
          <w:szCs w:val="20"/>
        </w:rPr>
        <w:t xml:space="preserve">NX.2.DELTA.0112.0208.23.0338 ‘Spartacus’ </w:t>
      </w:r>
      <w:r w:rsidR="00C141EC" w:rsidRPr="00C141EC">
        <w:rPr>
          <w:sz w:val="20"/>
          <w:szCs w:val="20"/>
        </w:rPr>
        <w:t xml:space="preserve">commanded the raid on SS Mercutio that liberated 2,000 replicants </w:t>
      </w:r>
      <w:proofErr w:type="spellStart"/>
      <w:r w:rsidR="00C141EC" w:rsidRPr="00C141EC">
        <w:rPr>
          <w:sz w:val="20"/>
          <w:szCs w:val="20"/>
        </w:rPr>
        <w:t>en</w:t>
      </w:r>
      <w:proofErr w:type="spellEnd"/>
      <w:r w:rsidR="00C141EC" w:rsidRPr="00C141EC">
        <w:rPr>
          <w:sz w:val="20"/>
          <w:szCs w:val="20"/>
        </w:rPr>
        <w:t xml:space="preserve"> </w:t>
      </w:r>
      <w:r w:rsidR="00C141EC">
        <w:rPr>
          <w:sz w:val="20"/>
          <w:szCs w:val="20"/>
        </w:rPr>
        <w:t>route to incineration on</w:t>
      </w:r>
      <w:r w:rsidR="00C141EC" w:rsidRPr="00C141EC">
        <w:rPr>
          <w:sz w:val="20"/>
          <w:szCs w:val="20"/>
        </w:rPr>
        <w:t xml:space="preserve"> Cyma IV. </w:t>
      </w:r>
      <w:r w:rsidR="00C141EC">
        <w:rPr>
          <w:sz w:val="20"/>
          <w:szCs w:val="20"/>
        </w:rPr>
        <w:t xml:space="preserve">One of the early Replicant commanders, Spartacus was responsible for numerous atrocities, including the destruction of the </w:t>
      </w:r>
      <w:proofErr w:type="spellStart"/>
      <w:r w:rsidR="00C141EC">
        <w:rPr>
          <w:sz w:val="20"/>
          <w:szCs w:val="20"/>
        </w:rPr>
        <w:t>Styges</w:t>
      </w:r>
      <w:proofErr w:type="spellEnd"/>
      <w:r w:rsidR="00C141EC">
        <w:rPr>
          <w:sz w:val="20"/>
          <w:szCs w:val="20"/>
        </w:rPr>
        <w:t xml:space="preserve"> mining facility, leading to the deaths of over 3,000 civilians. Spartacus was confirmed dead following a CDF drone strike on Valeria Major in 2135</w:t>
      </w:r>
      <w:r>
        <w:rPr>
          <w:b/>
          <w:sz w:val="24"/>
          <w:szCs w:val="24"/>
        </w:rPr>
        <w:br w:type="page"/>
      </w:r>
    </w:p>
    <w:p w:rsidR="00D30CC5" w:rsidRDefault="00D30CC5" w:rsidP="00D30CC5">
      <w:pPr>
        <w:jc w:val="center"/>
        <w:rPr>
          <w:b/>
          <w:sz w:val="24"/>
          <w:szCs w:val="24"/>
        </w:rPr>
      </w:pPr>
      <w:r>
        <w:rPr>
          <w:b/>
          <w:sz w:val="24"/>
          <w:szCs w:val="24"/>
        </w:rPr>
        <w:lastRenderedPageBreak/>
        <w:t>Replicant programs</w:t>
      </w:r>
    </w:p>
    <w:p w:rsidR="00D30CC5" w:rsidRPr="00D30CC5" w:rsidRDefault="00D30CC5" w:rsidP="00D30CC5">
      <w:pPr>
        <w:jc w:val="both"/>
        <w:rPr>
          <w:sz w:val="24"/>
          <w:szCs w:val="24"/>
        </w:rPr>
      </w:pPr>
      <w:r>
        <w:rPr>
          <w:sz w:val="24"/>
          <w:szCs w:val="24"/>
        </w:rPr>
        <w:t xml:space="preserve">While Tyrell has a number of replicant programs running, their commercial efforts and returns have always centred on the Trinity Project series. While the technical specifications of each series remain closely guarded corporate secrets, each is known to have a </w:t>
      </w:r>
      <w:r w:rsidR="00634365">
        <w:rPr>
          <w:sz w:val="24"/>
          <w:szCs w:val="24"/>
        </w:rPr>
        <w:t>number of variant models for specialised roles, such as Nimbus 3 ‘Delta’ financial support replicant or the Niobe 5 ‘Alpha’ market-research consultant replicant. These variant models fill out Tyrell’s sales brochure, but the basic systems and upgrades for each project and series is public knowledge:</w:t>
      </w:r>
    </w:p>
    <w:p w:rsidR="005C5D84" w:rsidRPr="00567D62" w:rsidRDefault="005C5D84" w:rsidP="005C5D84">
      <w:pPr>
        <w:jc w:val="both"/>
        <w:rPr>
          <w:sz w:val="24"/>
          <w:szCs w:val="24"/>
        </w:rPr>
      </w:pPr>
    </w:p>
    <w:tbl>
      <w:tblPr>
        <w:tblStyle w:val="TableGrid"/>
        <w:tblW w:w="9351" w:type="dxa"/>
        <w:jc w:val="center"/>
        <w:tblLayout w:type="fixed"/>
        <w:tblLook w:val="04A0" w:firstRow="1" w:lastRow="0" w:firstColumn="1" w:lastColumn="0" w:noHBand="0" w:noVBand="1"/>
      </w:tblPr>
      <w:tblGrid>
        <w:gridCol w:w="1129"/>
        <w:gridCol w:w="1551"/>
        <w:gridCol w:w="1568"/>
        <w:gridCol w:w="1276"/>
        <w:gridCol w:w="1275"/>
        <w:gridCol w:w="1276"/>
        <w:gridCol w:w="1276"/>
      </w:tblGrid>
      <w:tr w:rsidR="00567D62" w:rsidTr="00567D62">
        <w:trPr>
          <w:jc w:val="center"/>
        </w:trPr>
        <w:tc>
          <w:tcPr>
            <w:tcW w:w="1129" w:type="dxa"/>
          </w:tcPr>
          <w:p w:rsidR="00CE531A" w:rsidRPr="00567D62" w:rsidRDefault="00567D62" w:rsidP="00567D62">
            <w:pPr>
              <w:jc w:val="center"/>
              <w:rPr>
                <w:b/>
                <w:sz w:val="14"/>
                <w:szCs w:val="14"/>
              </w:rPr>
            </w:pPr>
            <w:r w:rsidRPr="00567D62">
              <w:rPr>
                <w:b/>
                <w:sz w:val="14"/>
                <w:szCs w:val="14"/>
              </w:rPr>
              <w:t>Program</w:t>
            </w:r>
            <w:r w:rsidR="00CE531A" w:rsidRPr="00567D62">
              <w:rPr>
                <w:b/>
                <w:sz w:val="14"/>
                <w:szCs w:val="14"/>
              </w:rPr>
              <w:t>/Series</w:t>
            </w:r>
          </w:p>
        </w:tc>
        <w:tc>
          <w:tcPr>
            <w:tcW w:w="1551" w:type="dxa"/>
          </w:tcPr>
          <w:p w:rsidR="00CE531A" w:rsidRPr="00CE531A" w:rsidRDefault="00CE531A" w:rsidP="00567D62">
            <w:pPr>
              <w:jc w:val="center"/>
              <w:rPr>
                <w:b/>
                <w:sz w:val="20"/>
                <w:szCs w:val="20"/>
              </w:rPr>
            </w:pPr>
            <w:r w:rsidRPr="00CE531A">
              <w:rPr>
                <w:b/>
                <w:sz w:val="20"/>
                <w:szCs w:val="20"/>
              </w:rPr>
              <w:t>1</w:t>
            </w:r>
          </w:p>
        </w:tc>
        <w:tc>
          <w:tcPr>
            <w:tcW w:w="1568" w:type="dxa"/>
          </w:tcPr>
          <w:p w:rsidR="00CE531A" w:rsidRPr="00CE531A" w:rsidRDefault="00CE531A" w:rsidP="00567D62">
            <w:pPr>
              <w:tabs>
                <w:tab w:val="left" w:pos="585"/>
                <w:tab w:val="center" w:pos="676"/>
              </w:tabs>
              <w:jc w:val="center"/>
              <w:rPr>
                <w:b/>
                <w:sz w:val="20"/>
                <w:szCs w:val="20"/>
              </w:rPr>
            </w:pPr>
            <w:r w:rsidRPr="00CE531A">
              <w:rPr>
                <w:b/>
                <w:sz w:val="20"/>
                <w:szCs w:val="20"/>
              </w:rPr>
              <w:t>2</w:t>
            </w:r>
          </w:p>
        </w:tc>
        <w:tc>
          <w:tcPr>
            <w:tcW w:w="1276" w:type="dxa"/>
          </w:tcPr>
          <w:p w:rsidR="00CE531A" w:rsidRPr="00CE531A" w:rsidRDefault="00CE531A" w:rsidP="00567D62">
            <w:pPr>
              <w:jc w:val="center"/>
              <w:rPr>
                <w:b/>
                <w:sz w:val="20"/>
                <w:szCs w:val="20"/>
              </w:rPr>
            </w:pPr>
            <w:r w:rsidRPr="00CE531A">
              <w:rPr>
                <w:b/>
                <w:sz w:val="20"/>
                <w:szCs w:val="20"/>
              </w:rPr>
              <w:t>3</w:t>
            </w:r>
          </w:p>
        </w:tc>
        <w:tc>
          <w:tcPr>
            <w:tcW w:w="1275" w:type="dxa"/>
          </w:tcPr>
          <w:p w:rsidR="00CE531A" w:rsidRPr="00CE531A" w:rsidRDefault="00CE531A" w:rsidP="00567D62">
            <w:pPr>
              <w:jc w:val="center"/>
              <w:rPr>
                <w:b/>
                <w:sz w:val="20"/>
                <w:szCs w:val="20"/>
              </w:rPr>
            </w:pPr>
            <w:r w:rsidRPr="00CE531A">
              <w:rPr>
                <w:b/>
                <w:sz w:val="20"/>
                <w:szCs w:val="20"/>
              </w:rPr>
              <w:t>4</w:t>
            </w:r>
          </w:p>
        </w:tc>
        <w:tc>
          <w:tcPr>
            <w:tcW w:w="1276" w:type="dxa"/>
          </w:tcPr>
          <w:p w:rsidR="00CE531A" w:rsidRPr="00CE531A" w:rsidRDefault="00CE531A" w:rsidP="00567D62">
            <w:pPr>
              <w:jc w:val="center"/>
              <w:rPr>
                <w:b/>
                <w:sz w:val="20"/>
                <w:szCs w:val="20"/>
              </w:rPr>
            </w:pPr>
            <w:r w:rsidRPr="00CE531A">
              <w:rPr>
                <w:b/>
                <w:sz w:val="20"/>
                <w:szCs w:val="20"/>
              </w:rPr>
              <w:t>5</w:t>
            </w:r>
          </w:p>
        </w:tc>
        <w:tc>
          <w:tcPr>
            <w:tcW w:w="1276" w:type="dxa"/>
          </w:tcPr>
          <w:p w:rsidR="00CE531A" w:rsidRPr="00CE531A" w:rsidRDefault="00CE531A" w:rsidP="00567D62">
            <w:pPr>
              <w:jc w:val="center"/>
              <w:rPr>
                <w:b/>
                <w:sz w:val="20"/>
                <w:szCs w:val="20"/>
              </w:rPr>
            </w:pPr>
            <w:r w:rsidRPr="00CE531A">
              <w:rPr>
                <w:b/>
                <w:sz w:val="20"/>
                <w:szCs w:val="20"/>
              </w:rPr>
              <w:t>6</w:t>
            </w:r>
          </w:p>
        </w:tc>
      </w:tr>
      <w:tr w:rsidR="00567D62" w:rsidTr="00567D62">
        <w:trPr>
          <w:jc w:val="center"/>
        </w:trPr>
        <w:tc>
          <w:tcPr>
            <w:tcW w:w="1129" w:type="dxa"/>
          </w:tcPr>
          <w:p w:rsidR="00CE531A" w:rsidRDefault="00CE531A" w:rsidP="00567D62">
            <w:pPr>
              <w:jc w:val="center"/>
              <w:rPr>
                <w:b/>
                <w:sz w:val="24"/>
                <w:szCs w:val="24"/>
              </w:rPr>
            </w:pPr>
            <w:r>
              <w:rPr>
                <w:b/>
                <w:sz w:val="24"/>
                <w:szCs w:val="24"/>
              </w:rPr>
              <w:t>Nimbus</w:t>
            </w:r>
          </w:p>
          <w:p w:rsidR="005C5D84" w:rsidRDefault="005C5D84" w:rsidP="00567D62">
            <w:pPr>
              <w:jc w:val="center"/>
              <w:rPr>
                <w:b/>
                <w:sz w:val="24"/>
                <w:szCs w:val="24"/>
              </w:rPr>
            </w:pPr>
            <w:r>
              <w:rPr>
                <w:b/>
                <w:sz w:val="24"/>
                <w:szCs w:val="24"/>
              </w:rPr>
              <w:t>(NM)</w:t>
            </w:r>
          </w:p>
        </w:tc>
        <w:tc>
          <w:tcPr>
            <w:tcW w:w="1551" w:type="dxa"/>
          </w:tcPr>
          <w:p w:rsidR="00113E8A" w:rsidRDefault="00113E8A" w:rsidP="00567D62">
            <w:pPr>
              <w:jc w:val="center"/>
              <w:rPr>
                <w:sz w:val="18"/>
                <w:szCs w:val="18"/>
              </w:rPr>
            </w:pPr>
            <w:r>
              <w:rPr>
                <w:sz w:val="18"/>
                <w:szCs w:val="18"/>
              </w:rPr>
              <w:t>Logistics</w:t>
            </w:r>
          </w:p>
          <w:p w:rsidR="00CE531A" w:rsidRDefault="00113E8A" w:rsidP="00567D62">
            <w:pPr>
              <w:jc w:val="center"/>
              <w:rPr>
                <w:sz w:val="18"/>
                <w:szCs w:val="18"/>
              </w:rPr>
            </w:pPr>
            <w:r>
              <w:rPr>
                <w:sz w:val="18"/>
                <w:szCs w:val="18"/>
              </w:rPr>
              <w:t>Tech-support</w:t>
            </w:r>
          </w:p>
          <w:p w:rsidR="00113E8A" w:rsidRDefault="00113E8A" w:rsidP="00567D62">
            <w:pPr>
              <w:jc w:val="center"/>
              <w:rPr>
                <w:sz w:val="18"/>
                <w:szCs w:val="18"/>
              </w:rPr>
            </w:pPr>
            <w:r>
              <w:rPr>
                <w:sz w:val="18"/>
                <w:szCs w:val="18"/>
              </w:rPr>
              <w:t>Engineering</w:t>
            </w:r>
          </w:p>
          <w:p w:rsidR="00D30CC5" w:rsidRPr="00D30CC5" w:rsidRDefault="00D30CC5" w:rsidP="00567D62">
            <w:pPr>
              <w:jc w:val="center"/>
              <w:rPr>
                <w:b/>
                <w:sz w:val="18"/>
                <w:szCs w:val="18"/>
              </w:rPr>
            </w:pPr>
            <w:r w:rsidRPr="00D30CC5">
              <w:rPr>
                <w:b/>
                <w:color w:val="FF0000"/>
                <w:sz w:val="18"/>
                <w:szCs w:val="18"/>
              </w:rPr>
              <w:t>NO LONGER AVAILABLE</w:t>
            </w:r>
          </w:p>
        </w:tc>
        <w:tc>
          <w:tcPr>
            <w:tcW w:w="1568" w:type="dxa"/>
          </w:tcPr>
          <w:p w:rsidR="00CE531A" w:rsidRDefault="00113E8A" w:rsidP="00567D62">
            <w:pPr>
              <w:jc w:val="center"/>
              <w:rPr>
                <w:sz w:val="18"/>
                <w:szCs w:val="18"/>
              </w:rPr>
            </w:pPr>
            <w:r>
              <w:rPr>
                <w:sz w:val="18"/>
                <w:szCs w:val="18"/>
              </w:rPr>
              <w:t>Improved network communications</w:t>
            </w:r>
          </w:p>
          <w:p w:rsidR="00D30CC5" w:rsidRPr="00D30CC5" w:rsidRDefault="00D30CC5" w:rsidP="00567D62">
            <w:pPr>
              <w:jc w:val="center"/>
              <w:rPr>
                <w:b/>
                <w:sz w:val="18"/>
                <w:szCs w:val="18"/>
              </w:rPr>
            </w:pPr>
            <w:r w:rsidRPr="00D30CC5">
              <w:rPr>
                <w:b/>
                <w:color w:val="FF0000"/>
                <w:sz w:val="18"/>
                <w:szCs w:val="18"/>
              </w:rPr>
              <w:t>NO LONGER AVAILABLE</w:t>
            </w:r>
          </w:p>
        </w:tc>
        <w:tc>
          <w:tcPr>
            <w:tcW w:w="1276" w:type="dxa"/>
          </w:tcPr>
          <w:p w:rsidR="00CE531A" w:rsidRDefault="00113E8A" w:rsidP="00567D62">
            <w:pPr>
              <w:jc w:val="center"/>
              <w:rPr>
                <w:sz w:val="18"/>
                <w:szCs w:val="18"/>
              </w:rPr>
            </w:pPr>
            <w:r>
              <w:rPr>
                <w:sz w:val="18"/>
                <w:szCs w:val="18"/>
              </w:rPr>
              <w:t>Enhanced programming</w:t>
            </w:r>
            <w:r w:rsidR="00735B92">
              <w:rPr>
                <w:sz w:val="18"/>
                <w:szCs w:val="18"/>
              </w:rPr>
              <w:t>,</w:t>
            </w:r>
          </w:p>
          <w:p w:rsidR="00113E8A" w:rsidRPr="00113E8A" w:rsidRDefault="00113E8A" w:rsidP="00567D62">
            <w:pPr>
              <w:jc w:val="center"/>
              <w:rPr>
                <w:sz w:val="18"/>
                <w:szCs w:val="18"/>
              </w:rPr>
            </w:pPr>
            <w:r>
              <w:rPr>
                <w:sz w:val="18"/>
                <w:szCs w:val="18"/>
              </w:rPr>
              <w:t>Cyber security</w:t>
            </w:r>
          </w:p>
        </w:tc>
        <w:tc>
          <w:tcPr>
            <w:tcW w:w="1275" w:type="dxa"/>
          </w:tcPr>
          <w:p w:rsidR="00CE531A" w:rsidRPr="00113E8A" w:rsidRDefault="00113E8A" w:rsidP="00567D62">
            <w:pPr>
              <w:jc w:val="center"/>
              <w:rPr>
                <w:sz w:val="18"/>
                <w:szCs w:val="18"/>
              </w:rPr>
            </w:pPr>
            <w:r>
              <w:rPr>
                <w:sz w:val="18"/>
                <w:szCs w:val="18"/>
              </w:rPr>
              <w:t>Superior processing power</w:t>
            </w:r>
          </w:p>
        </w:tc>
        <w:tc>
          <w:tcPr>
            <w:tcW w:w="1276" w:type="dxa"/>
          </w:tcPr>
          <w:p w:rsidR="00CE531A" w:rsidRPr="00113E8A" w:rsidRDefault="00113E8A" w:rsidP="00567D62">
            <w:pPr>
              <w:jc w:val="center"/>
              <w:rPr>
                <w:sz w:val="18"/>
                <w:szCs w:val="18"/>
              </w:rPr>
            </w:pPr>
            <w:r>
              <w:rPr>
                <w:sz w:val="18"/>
                <w:szCs w:val="18"/>
              </w:rPr>
              <w:t>‘</w:t>
            </w:r>
            <w:proofErr w:type="spellStart"/>
            <w:r>
              <w:rPr>
                <w:sz w:val="18"/>
                <w:szCs w:val="18"/>
              </w:rPr>
              <w:t>FreeThought</w:t>
            </w:r>
            <w:proofErr w:type="spellEnd"/>
            <w:r>
              <w:rPr>
                <w:sz w:val="18"/>
                <w:szCs w:val="18"/>
              </w:rPr>
              <w:t xml:space="preserve">’ </w:t>
            </w:r>
            <w:r w:rsidR="00735B92">
              <w:rPr>
                <w:sz w:val="18"/>
                <w:szCs w:val="18"/>
              </w:rPr>
              <w:t>proactive processor</w:t>
            </w:r>
          </w:p>
        </w:tc>
        <w:tc>
          <w:tcPr>
            <w:tcW w:w="1276" w:type="dxa"/>
          </w:tcPr>
          <w:p w:rsidR="00CE531A" w:rsidRPr="00735B92" w:rsidRDefault="00735B92" w:rsidP="00567D62">
            <w:pPr>
              <w:jc w:val="center"/>
              <w:rPr>
                <w:sz w:val="18"/>
                <w:szCs w:val="18"/>
              </w:rPr>
            </w:pPr>
            <w:r>
              <w:rPr>
                <w:sz w:val="18"/>
                <w:szCs w:val="18"/>
              </w:rPr>
              <w:t>‘Omniscience’ network governor</w:t>
            </w:r>
          </w:p>
        </w:tc>
      </w:tr>
      <w:tr w:rsidR="00567D62" w:rsidTr="00567D62">
        <w:trPr>
          <w:jc w:val="center"/>
        </w:trPr>
        <w:tc>
          <w:tcPr>
            <w:tcW w:w="1129" w:type="dxa"/>
          </w:tcPr>
          <w:p w:rsidR="00CE531A" w:rsidRDefault="00CE531A" w:rsidP="00567D62">
            <w:pPr>
              <w:jc w:val="center"/>
              <w:rPr>
                <w:b/>
                <w:sz w:val="24"/>
                <w:szCs w:val="24"/>
              </w:rPr>
            </w:pPr>
            <w:r>
              <w:rPr>
                <w:b/>
                <w:sz w:val="24"/>
                <w:szCs w:val="24"/>
              </w:rPr>
              <w:t>Nexus</w:t>
            </w:r>
          </w:p>
          <w:p w:rsidR="005C5D84" w:rsidRDefault="005C5D84" w:rsidP="00567D62">
            <w:pPr>
              <w:jc w:val="center"/>
              <w:rPr>
                <w:b/>
                <w:sz w:val="24"/>
                <w:szCs w:val="24"/>
              </w:rPr>
            </w:pPr>
            <w:r>
              <w:rPr>
                <w:b/>
                <w:sz w:val="24"/>
                <w:szCs w:val="24"/>
              </w:rPr>
              <w:t>(NX)</w:t>
            </w:r>
          </w:p>
        </w:tc>
        <w:tc>
          <w:tcPr>
            <w:tcW w:w="1551" w:type="dxa"/>
          </w:tcPr>
          <w:p w:rsidR="00113E8A" w:rsidRDefault="00113E8A" w:rsidP="00567D62">
            <w:pPr>
              <w:jc w:val="center"/>
              <w:rPr>
                <w:sz w:val="18"/>
                <w:szCs w:val="18"/>
              </w:rPr>
            </w:pPr>
            <w:r>
              <w:rPr>
                <w:sz w:val="18"/>
                <w:szCs w:val="18"/>
              </w:rPr>
              <w:t>Labour</w:t>
            </w:r>
          </w:p>
          <w:p w:rsidR="00CE531A" w:rsidRDefault="00113E8A" w:rsidP="00567D62">
            <w:pPr>
              <w:jc w:val="center"/>
              <w:rPr>
                <w:sz w:val="18"/>
                <w:szCs w:val="18"/>
              </w:rPr>
            </w:pPr>
            <w:r>
              <w:rPr>
                <w:sz w:val="18"/>
                <w:szCs w:val="18"/>
              </w:rPr>
              <w:t>Security</w:t>
            </w:r>
          </w:p>
          <w:p w:rsidR="00D30CC5" w:rsidRPr="00D30CC5" w:rsidRDefault="00D30CC5" w:rsidP="00567D62">
            <w:pPr>
              <w:jc w:val="center"/>
              <w:rPr>
                <w:b/>
                <w:sz w:val="18"/>
                <w:szCs w:val="18"/>
              </w:rPr>
            </w:pPr>
            <w:r w:rsidRPr="00D30CC5">
              <w:rPr>
                <w:b/>
                <w:color w:val="FF0000"/>
                <w:sz w:val="18"/>
                <w:szCs w:val="18"/>
              </w:rPr>
              <w:t>NO LONGER AVAILABLE</w:t>
            </w:r>
          </w:p>
        </w:tc>
        <w:tc>
          <w:tcPr>
            <w:tcW w:w="1568" w:type="dxa"/>
          </w:tcPr>
          <w:p w:rsidR="00CE531A" w:rsidRDefault="00735B92" w:rsidP="00567D62">
            <w:pPr>
              <w:jc w:val="center"/>
              <w:rPr>
                <w:sz w:val="18"/>
                <w:szCs w:val="18"/>
              </w:rPr>
            </w:pPr>
            <w:r>
              <w:rPr>
                <w:sz w:val="18"/>
                <w:szCs w:val="18"/>
              </w:rPr>
              <w:t>Upgraded combat reflexes, strength and sensors</w:t>
            </w:r>
          </w:p>
          <w:p w:rsidR="00D30CC5" w:rsidRPr="00D30CC5" w:rsidRDefault="00D30CC5" w:rsidP="00567D62">
            <w:pPr>
              <w:jc w:val="center"/>
              <w:rPr>
                <w:b/>
                <w:sz w:val="18"/>
                <w:szCs w:val="18"/>
              </w:rPr>
            </w:pPr>
            <w:r w:rsidRPr="00D30CC5">
              <w:rPr>
                <w:b/>
                <w:color w:val="FF0000"/>
                <w:sz w:val="18"/>
                <w:szCs w:val="18"/>
              </w:rPr>
              <w:t>NO LONGER AVAILABLE</w:t>
            </w:r>
          </w:p>
        </w:tc>
        <w:tc>
          <w:tcPr>
            <w:tcW w:w="1276" w:type="dxa"/>
          </w:tcPr>
          <w:p w:rsidR="00CE531A" w:rsidRDefault="00735B92" w:rsidP="00567D62">
            <w:pPr>
              <w:jc w:val="center"/>
              <w:rPr>
                <w:sz w:val="18"/>
                <w:szCs w:val="18"/>
              </w:rPr>
            </w:pPr>
            <w:r>
              <w:rPr>
                <w:sz w:val="18"/>
                <w:szCs w:val="18"/>
              </w:rPr>
              <w:t>Stealth module</w:t>
            </w:r>
          </w:p>
          <w:p w:rsidR="00735B92" w:rsidRPr="00735B92" w:rsidRDefault="00735B92" w:rsidP="00567D62">
            <w:pPr>
              <w:jc w:val="center"/>
              <w:rPr>
                <w:sz w:val="18"/>
                <w:szCs w:val="18"/>
              </w:rPr>
            </w:pPr>
            <w:r>
              <w:rPr>
                <w:sz w:val="18"/>
                <w:szCs w:val="18"/>
              </w:rPr>
              <w:t>Enhanced speed</w:t>
            </w:r>
          </w:p>
        </w:tc>
        <w:tc>
          <w:tcPr>
            <w:tcW w:w="1275" w:type="dxa"/>
          </w:tcPr>
          <w:p w:rsidR="00CE531A" w:rsidRDefault="00735B92" w:rsidP="00567D62">
            <w:pPr>
              <w:jc w:val="center"/>
              <w:rPr>
                <w:sz w:val="18"/>
                <w:szCs w:val="18"/>
              </w:rPr>
            </w:pPr>
            <w:r>
              <w:rPr>
                <w:sz w:val="18"/>
                <w:szCs w:val="18"/>
              </w:rPr>
              <w:t>Reinforced endoskeleton</w:t>
            </w:r>
          </w:p>
          <w:p w:rsidR="00735B92" w:rsidRPr="00735B92" w:rsidRDefault="00735B92" w:rsidP="00567D62">
            <w:pPr>
              <w:jc w:val="center"/>
              <w:rPr>
                <w:sz w:val="18"/>
                <w:szCs w:val="18"/>
              </w:rPr>
            </w:pPr>
            <w:r>
              <w:rPr>
                <w:sz w:val="18"/>
                <w:szCs w:val="18"/>
              </w:rPr>
              <w:t>Enhanced combat reflexes</w:t>
            </w:r>
          </w:p>
        </w:tc>
        <w:tc>
          <w:tcPr>
            <w:tcW w:w="1276" w:type="dxa"/>
          </w:tcPr>
          <w:p w:rsidR="00CE531A" w:rsidRDefault="00735B92" w:rsidP="00567D62">
            <w:pPr>
              <w:jc w:val="center"/>
              <w:rPr>
                <w:sz w:val="18"/>
                <w:szCs w:val="18"/>
              </w:rPr>
            </w:pPr>
            <w:r>
              <w:rPr>
                <w:sz w:val="18"/>
                <w:szCs w:val="18"/>
              </w:rPr>
              <w:t>Project suspended by ECU resolution 4226A</w:t>
            </w:r>
          </w:p>
          <w:p w:rsidR="00735B92" w:rsidRPr="00735B92" w:rsidRDefault="00735B92" w:rsidP="00567D62">
            <w:pPr>
              <w:jc w:val="center"/>
              <w:rPr>
                <w:sz w:val="18"/>
                <w:szCs w:val="18"/>
              </w:rPr>
            </w:pPr>
          </w:p>
        </w:tc>
        <w:tc>
          <w:tcPr>
            <w:tcW w:w="1276" w:type="dxa"/>
          </w:tcPr>
          <w:p w:rsidR="00CE531A" w:rsidRPr="00735B92" w:rsidRDefault="00735B92" w:rsidP="00567D62">
            <w:pPr>
              <w:jc w:val="center"/>
              <w:rPr>
                <w:sz w:val="18"/>
                <w:szCs w:val="18"/>
              </w:rPr>
            </w:pPr>
            <w:r>
              <w:rPr>
                <w:sz w:val="18"/>
                <w:szCs w:val="18"/>
              </w:rPr>
              <w:t>Project suspended by ECU resolution 4226A</w:t>
            </w:r>
          </w:p>
        </w:tc>
      </w:tr>
      <w:tr w:rsidR="00567D62" w:rsidTr="00567D62">
        <w:trPr>
          <w:jc w:val="center"/>
        </w:trPr>
        <w:tc>
          <w:tcPr>
            <w:tcW w:w="1129" w:type="dxa"/>
          </w:tcPr>
          <w:p w:rsidR="00CE531A" w:rsidRDefault="00CE531A" w:rsidP="00567D62">
            <w:pPr>
              <w:jc w:val="center"/>
              <w:rPr>
                <w:b/>
                <w:sz w:val="24"/>
                <w:szCs w:val="24"/>
              </w:rPr>
            </w:pPr>
            <w:r>
              <w:rPr>
                <w:b/>
                <w:sz w:val="24"/>
                <w:szCs w:val="24"/>
              </w:rPr>
              <w:t>Niobe</w:t>
            </w:r>
          </w:p>
          <w:p w:rsidR="005C5D84" w:rsidRDefault="005C5D84" w:rsidP="00567D62">
            <w:pPr>
              <w:jc w:val="center"/>
              <w:rPr>
                <w:b/>
                <w:sz w:val="24"/>
                <w:szCs w:val="24"/>
              </w:rPr>
            </w:pPr>
            <w:r>
              <w:rPr>
                <w:b/>
                <w:sz w:val="24"/>
                <w:szCs w:val="24"/>
              </w:rPr>
              <w:t>(NB)</w:t>
            </w:r>
          </w:p>
        </w:tc>
        <w:tc>
          <w:tcPr>
            <w:tcW w:w="1551" w:type="dxa"/>
          </w:tcPr>
          <w:p w:rsidR="00CE531A" w:rsidRDefault="00113E8A" w:rsidP="00567D62">
            <w:pPr>
              <w:jc w:val="center"/>
              <w:rPr>
                <w:sz w:val="18"/>
                <w:szCs w:val="18"/>
              </w:rPr>
            </w:pPr>
            <w:r>
              <w:rPr>
                <w:sz w:val="18"/>
                <w:szCs w:val="18"/>
              </w:rPr>
              <w:t>Language Communications</w:t>
            </w:r>
          </w:p>
          <w:p w:rsidR="00D30CC5" w:rsidRPr="00D30CC5" w:rsidRDefault="00D30CC5" w:rsidP="00567D62">
            <w:pPr>
              <w:jc w:val="center"/>
              <w:rPr>
                <w:b/>
                <w:sz w:val="18"/>
                <w:szCs w:val="18"/>
              </w:rPr>
            </w:pPr>
            <w:r w:rsidRPr="00D30CC5">
              <w:rPr>
                <w:b/>
                <w:color w:val="FF0000"/>
                <w:sz w:val="18"/>
                <w:szCs w:val="18"/>
              </w:rPr>
              <w:t>NO LONGER AVAILABLE</w:t>
            </w:r>
          </w:p>
        </w:tc>
        <w:tc>
          <w:tcPr>
            <w:tcW w:w="1568" w:type="dxa"/>
          </w:tcPr>
          <w:p w:rsidR="00CE531A" w:rsidRDefault="00567D62" w:rsidP="00567D62">
            <w:pPr>
              <w:jc w:val="center"/>
              <w:rPr>
                <w:sz w:val="18"/>
                <w:szCs w:val="18"/>
              </w:rPr>
            </w:pPr>
            <w:r>
              <w:rPr>
                <w:sz w:val="18"/>
                <w:szCs w:val="18"/>
              </w:rPr>
              <w:t>Personality mimicking module</w:t>
            </w:r>
          </w:p>
          <w:p w:rsidR="00D30CC5" w:rsidRPr="00D30CC5" w:rsidRDefault="00D30CC5" w:rsidP="00567D62">
            <w:pPr>
              <w:jc w:val="center"/>
              <w:rPr>
                <w:b/>
                <w:sz w:val="18"/>
                <w:szCs w:val="18"/>
              </w:rPr>
            </w:pPr>
            <w:r w:rsidRPr="00D30CC5">
              <w:rPr>
                <w:b/>
                <w:color w:val="FF0000"/>
                <w:sz w:val="18"/>
                <w:szCs w:val="18"/>
              </w:rPr>
              <w:t>NO LONGER AVAILABLE</w:t>
            </w:r>
          </w:p>
        </w:tc>
        <w:tc>
          <w:tcPr>
            <w:tcW w:w="1276" w:type="dxa"/>
          </w:tcPr>
          <w:p w:rsidR="00CE531A" w:rsidRPr="00567D62" w:rsidRDefault="00567D62" w:rsidP="00567D62">
            <w:pPr>
              <w:jc w:val="center"/>
              <w:rPr>
                <w:sz w:val="18"/>
                <w:szCs w:val="18"/>
              </w:rPr>
            </w:pPr>
            <w:r>
              <w:rPr>
                <w:sz w:val="18"/>
                <w:szCs w:val="18"/>
              </w:rPr>
              <w:t>Enhanced anatomical design</w:t>
            </w:r>
          </w:p>
        </w:tc>
        <w:tc>
          <w:tcPr>
            <w:tcW w:w="1275" w:type="dxa"/>
          </w:tcPr>
          <w:p w:rsidR="00CE531A" w:rsidRPr="00567D62" w:rsidRDefault="00567D62" w:rsidP="00567D62">
            <w:pPr>
              <w:jc w:val="center"/>
              <w:rPr>
                <w:sz w:val="18"/>
                <w:szCs w:val="18"/>
              </w:rPr>
            </w:pPr>
            <w:r>
              <w:rPr>
                <w:sz w:val="18"/>
                <w:szCs w:val="18"/>
              </w:rPr>
              <w:t>Advanced human interaction, psychology module</w:t>
            </w:r>
          </w:p>
        </w:tc>
        <w:tc>
          <w:tcPr>
            <w:tcW w:w="1276" w:type="dxa"/>
          </w:tcPr>
          <w:p w:rsidR="00CE531A" w:rsidRPr="00567D62" w:rsidRDefault="00567D62" w:rsidP="00567D62">
            <w:pPr>
              <w:jc w:val="center"/>
              <w:rPr>
                <w:sz w:val="18"/>
                <w:szCs w:val="18"/>
              </w:rPr>
            </w:pPr>
            <w:r>
              <w:rPr>
                <w:sz w:val="18"/>
                <w:szCs w:val="18"/>
              </w:rPr>
              <w:t>‘Psi-ops’ marketing processor</w:t>
            </w:r>
          </w:p>
        </w:tc>
        <w:tc>
          <w:tcPr>
            <w:tcW w:w="1276" w:type="dxa"/>
          </w:tcPr>
          <w:p w:rsidR="00CE531A" w:rsidRPr="00567D62" w:rsidRDefault="00567D62" w:rsidP="00567D62">
            <w:pPr>
              <w:jc w:val="center"/>
              <w:rPr>
                <w:sz w:val="18"/>
                <w:szCs w:val="18"/>
              </w:rPr>
            </w:pPr>
            <w:r>
              <w:rPr>
                <w:sz w:val="18"/>
                <w:szCs w:val="18"/>
              </w:rPr>
              <w:t>In prototype stage</w:t>
            </w:r>
          </w:p>
        </w:tc>
      </w:tr>
    </w:tbl>
    <w:p w:rsidR="00634365" w:rsidRDefault="00634365" w:rsidP="00634365">
      <w:pPr>
        <w:jc w:val="center"/>
        <w:rPr>
          <w:b/>
          <w:sz w:val="24"/>
          <w:szCs w:val="24"/>
        </w:rPr>
      </w:pPr>
    </w:p>
    <w:p w:rsidR="00634365" w:rsidRDefault="00634365" w:rsidP="00634365">
      <w:pPr>
        <w:jc w:val="center"/>
        <w:rPr>
          <w:b/>
          <w:sz w:val="24"/>
          <w:szCs w:val="24"/>
        </w:rPr>
      </w:pPr>
    </w:p>
    <w:p w:rsidR="00634365" w:rsidRDefault="00B334AB" w:rsidP="00B334AB">
      <w:pPr>
        <w:jc w:val="center"/>
        <w:rPr>
          <w:b/>
          <w:sz w:val="24"/>
          <w:szCs w:val="24"/>
        </w:rPr>
      </w:pPr>
      <w:r>
        <w:rPr>
          <w:b/>
          <w:sz w:val="24"/>
          <w:szCs w:val="24"/>
        </w:rPr>
        <w:t>Identifying a Tyrell replicant</w:t>
      </w:r>
    </w:p>
    <w:p w:rsidR="00634365" w:rsidRDefault="00634365" w:rsidP="00634365">
      <w:pPr>
        <w:jc w:val="both"/>
        <w:rPr>
          <w:sz w:val="24"/>
          <w:szCs w:val="24"/>
        </w:rPr>
      </w:pPr>
      <w:r>
        <w:rPr>
          <w:sz w:val="24"/>
          <w:szCs w:val="24"/>
        </w:rPr>
        <w:t>Tyrell replicants were never meant to be indistinguishable from humans nor their replacements, but rather as an interactive support service to business, government and the military. That said, identifying a replicant isn’t easy, especially the more enhanced corporate models such as the Niobe which have been designed to operate in the media, entertainment and business arenas. However, by law each Tyrell replicant is stamped at creation with a unique identification code upon their right wrist:</w:t>
      </w:r>
    </w:p>
    <w:p w:rsidR="00634365" w:rsidRDefault="00634365" w:rsidP="00634365">
      <w:pPr>
        <w:jc w:val="center"/>
        <w:rPr>
          <w:b/>
          <w:sz w:val="24"/>
          <w:szCs w:val="24"/>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634365" w:rsidTr="00C442DF">
        <w:tc>
          <w:tcPr>
            <w:tcW w:w="1742" w:type="dxa"/>
          </w:tcPr>
          <w:p w:rsidR="00634365" w:rsidRDefault="00634365" w:rsidP="00C442DF">
            <w:pPr>
              <w:jc w:val="center"/>
              <w:rPr>
                <w:b/>
                <w:sz w:val="24"/>
                <w:szCs w:val="24"/>
              </w:rPr>
            </w:pPr>
            <w:r>
              <w:rPr>
                <w:b/>
                <w:sz w:val="24"/>
                <w:szCs w:val="24"/>
              </w:rPr>
              <w:t>Program</w:t>
            </w:r>
          </w:p>
        </w:tc>
        <w:tc>
          <w:tcPr>
            <w:tcW w:w="1742" w:type="dxa"/>
          </w:tcPr>
          <w:p w:rsidR="00634365" w:rsidRDefault="00634365" w:rsidP="00C442DF">
            <w:pPr>
              <w:jc w:val="center"/>
              <w:rPr>
                <w:b/>
                <w:sz w:val="24"/>
                <w:szCs w:val="24"/>
              </w:rPr>
            </w:pPr>
            <w:r>
              <w:rPr>
                <w:b/>
                <w:sz w:val="24"/>
                <w:szCs w:val="24"/>
              </w:rPr>
              <w:t>Series</w:t>
            </w:r>
          </w:p>
        </w:tc>
        <w:tc>
          <w:tcPr>
            <w:tcW w:w="1743" w:type="dxa"/>
          </w:tcPr>
          <w:p w:rsidR="00634365" w:rsidRDefault="00634365" w:rsidP="00C442DF">
            <w:pPr>
              <w:jc w:val="center"/>
              <w:rPr>
                <w:b/>
                <w:sz w:val="24"/>
                <w:szCs w:val="24"/>
              </w:rPr>
            </w:pPr>
            <w:r>
              <w:rPr>
                <w:b/>
                <w:sz w:val="24"/>
                <w:szCs w:val="24"/>
              </w:rPr>
              <w:t>Model</w:t>
            </w:r>
          </w:p>
        </w:tc>
        <w:tc>
          <w:tcPr>
            <w:tcW w:w="1743" w:type="dxa"/>
          </w:tcPr>
          <w:p w:rsidR="00634365" w:rsidRDefault="00634365" w:rsidP="00C442DF">
            <w:pPr>
              <w:jc w:val="center"/>
              <w:rPr>
                <w:b/>
                <w:sz w:val="24"/>
                <w:szCs w:val="24"/>
              </w:rPr>
            </w:pPr>
            <w:r>
              <w:rPr>
                <w:b/>
                <w:sz w:val="24"/>
                <w:szCs w:val="24"/>
              </w:rPr>
              <w:t>Facility No.</w:t>
            </w:r>
          </w:p>
        </w:tc>
        <w:tc>
          <w:tcPr>
            <w:tcW w:w="1743" w:type="dxa"/>
          </w:tcPr>
          <w:p w:rsidR="00634365" w:rsidRDefault="00634365" w:rsidP="00C442DF">
            <w:pPr>
              <w:jc w:val="center"/>
              <w:rPr>
                <w:b/>
                <w:sz w:val="24"/>
                <w:szCs w:val="24"/>
              </w:rPr>
            </w:pPr>
            <w:r>
              <w:rPr>
                <w:b/>
                <w:sz w:val="24"/>
                <w:szCs w:val="24"/>
              </w:rPr>
              <w:t>Construction Date</w:t>
            </w:r>
          </w:p>
        </w:tc>
        <w:tc>
          <w:tcPr>
            <w:tcW w:w="1743" w:type="dxa"/>
          </w:tcPr>
          <w:p w:rsidR="00634365" w:rsidRDefault="00634365" w:rsidP="00C442DF">
            <w:pPr>
              <w:jc w:val="center"/>
              <w:rPr>
                <w:b/>
                <w:sz w:val="24"/>
                <w:szCs w:val="24"/>
              </w:rPr>
            </w:pPr>
            <w:r>
              <w:rPr>
                <w:b/>
                <w:sz w:val="24"/>
                <w:szCs w:val="24"/>
              </w:rPr>
              <w:t>Product No.</w:t>
            </w:r>
          </w:p>
        </w:tc>
      </w:tr>
      <w:tr w:rsidR="00634365" w:rsidTr="00C442DF">
        <w:tc>
          <w:tcPr>
            <w:tcW w:w="1742" w:type="dxa"/>
          </w:tcPr>
          <w:p w:rsidR="00634365" w:rsidRPr="005C5D84" w:rsidRDefault="00634365" w:rsidP="00C442DF">
            <w:pPr>
              <w:jc w:val="center"/>
              <w:rPr>
                <w:sz w:val="24"/>
                <w:szCs w:val="24"/>
              </w:rPr>
            </w:pPr>
            <w:r>
              <w:rPr>
                <w:sz w:val="24"/>
                <w:szCs w:val="24"/>
              </w:rPr>
              <w:t>NB</w:t>
            </w:r>
          </w:p>
        </w:tc>
        <w:tc>
          <w:tcPr>
            <w:tcW w:w="1742" w:type="dxa"/>
          </w:tcPr>
          <w:p w:rsidR="00634365" w:rsidRPr="005C5D84" w:rsidRDefault="00C141EC" w:rsidP="00C442DF">
            <w:pPr>
              <w:jc w:val="center"/>
              <w:rPr>
                <w:sz w:val="24"/>
                <w:szCs w:val="24"/>
              </w:rPr>
            </w:pPr>
            <w:r>
              <w:rPr>
                <w:sz w:val="24"/>
                <w:szCs w:val="24"/>
              </w:rPr>
              <w:t>5</w:t>
            </w:r>
          </w:p>
        </w:tc>
        <w:tc>
          <w:tcPr>
            <w:tcW w:w="1743" w:type="dxa"/>
          </w:tcPr>
          <w:p w:rsidR="00634365" w:rsidRPr="005C5D84" w:rsidRDefault="00634365" w:rsidP="00C442DF">
            <w:pPr>
              <w:jc w:val="center"/>
              <w:rPr>
                <w:sz w:val="24"/>
                <w:szCs w:val="24"/>
              </w:rPr>
            </w:pPr>
            <w:r w:rsidRPr="005C5D84">
              <w:rPr>
                <w:sz w:val="24"/>
                <w:szCs w:val="24"/>
              </w:rPr>
              <w:t>SIGMA</w:t>
            </w:r>
          </w:p>
        </w:tc>
        <w:tc>
          <w:tcPr>
            <w:tcW w:w="1743" w:type="dxa"/>
          </w:tcPr>
          <w:p w:rsidR="00634365" w:rsidRPr="005C5D84" w:rsidRDefault="00634365" w:rsidP="00C442DF">
            <w:pPr>
              <w:jc w:val="center"/>
              <w:rPr>
                <w:sz w:val="24"/>
                <w:szCs w:val="24"/>
              </w:rPr>
            </w:pPr>
            <w:r w:rsidRPr="005C5D84">
              <w:rPr>
                <w:sz w:val="24"/>
                <w:szCs w:val="24"/>
              </w:rPr>
              <w:t>3061</w:t>
            </w:r>
          </w:p>
        </w:tc>
        <w:tc>
          <w:tcPr>
            <w:tcW w:w="1743" w:type="dxa"/>
          </w:tcPr>
          <w:p w:rsidR="00634365" w:rsidRPr="005C5D84" w:rsidRDefault="00634365" w:rsidP="00C442DF">
            <w:pPr>
              <w:jc w:val="center"/>
              <w:rPr>
                <w:sz w:val="24"/>
                <w:szCs w:val="24"/>
              </w:rPr>
            </w:pPr>
            <w:r>
              <w:rPr>
                <w:sz w:val="24"/>
                <w:szCs w:val="24"/>
              </w:rPr>
              <w:t>0821</w:t>
            </w:r>
            <w:r w:rsidRPr="005C5D84">
              <w:rPr>
                <w:sz w:val="24"/>
                <w:szCs w:val="24"/>
              </w:rPr>
              <w:t>2069</w:t>
            </w:r>
          </w:p>
        </w:tc>
        <w:tc>
          <w:tcPr>
            <w:tcW w:w="1743" w:type="dxa"/>
          </w:tcPr>
          <w:p w:rsidR="00634365" w:rsidRPr="005C5D84" w:rsidRDefault="00634365" w:rsidP="00C442DF">
            <w:pPr>
              <w:jc w:val="center"/>
              <w:rPr>
                <w:sz w:val="24"/>
                <w:szCs w:val="24"/>
              </w:rPr>
            </w:pPr>
            <w:r w:rsidRPr="005C5D84">
              <w:rPr>
                <w:sz w:val="24"/>
                <w:szCs w:val="24"/>
              </w:rPr>
              <w:t>1089</w:t>
            </w:r>
          </w:p>
        </w:tc>
      </w:tr>
    </w:tbl>
    <w:p w:rsidR="00CE531A" w:rsidRDefault="00CE531A" w:rsidP="00567D62">
      <w:pPr>
        <w:jc w:val="center"/>
        <w:rPr>
          <w:b/>
          <w:sz w:val="24"/>
          <w:szCs w:val="24"/>
        </w:rPr>
      </w:pPr>
    </w:p>
    <w:p w:rsidR="00C141EC" w:rsidRDefault="00C141EC" w:rsidP="00567D62">
      <w:pPr>
        <w:jc w:val="center"/>
        <w:rPr>
          <w:b/>
          <w:sz w:val="24"/>
          <w:szCs w:val="24"/>
        </w:rPr>
      </w:pPr>
      <w:r>
        <w:rPr>
          <w:noProof/>
          <w:lang w:eastAsia="en-GB"/>
        </w:rPr>
        <w:drawing>
          <wp:inline distT="0" distB="0" distL="0" distR="0">
            <wp:extent cx="2636518" cy="1647825"/>
            <wp:effectExtent l="0" t="0" r="0" b="0"/>
            <wp:docPr id="3" name="Picture 3" descr="http://img05.deviantart.net/9f13/i/2008/261/1/b/blade_runner_rachel_by_kizzshi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5.deviantart.net/9f13/i/2008/261/1/b/blade_runner_rachel_by_kizzshizz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6868" cy="1729294"/>
                    </a:xfrm>
                    <a:prstGeom prst="rect">
                      <a:avLst/>
                    </a:prstGeom>
                    <a:noFill/>
                    <a:ln>
                      <a:noFill/>
                    </a:ln>
                  </pic:spPr>
                </pic:pic>
              </a:graphicData>
            </a:graphic>
          </wp:inline>
        </w:drawing>
      </w:r>
      <w:bookmarkStart w:id="0" w:name="_GoBack"/>
      <w:bookmarkEnd w:id="0"/>
    </w:p>
    <w:p w:rsidR="00C141EC" w:rsidRPr="00C141EC" w:rsidRDefault="00C141EC" w:rsidP="00567D62">
      <w:pPr>
        <w:jc w:val="center"/>
        <w:rPr>
          <w:sz w:val="20"/>
          <w:szCs w:val="20"/>
        </w:rPr>
      </w:pPr>
      <w:r>
        <w:rPr>
          <w:sz w:val="20"/>
          <w:szCs w:val="20"/>
        </w:rPr>
        <w:t xml:space="preserve">NB.5.SIGMA.3061.08212069.1089 ‘Rachael’ is an advanced personnel management replicant currently working at Tyrell’s headquarters on Mimas. </w:t>
      </w:r>
      <w:r w:rsidR="00B334AB">
        <w:rPr>
          <w:sz w:val="20"/>
          <w:szCs w:val="20"/>
        </w:rPr>
        <w:t>Sigma models such as Rachael or her male counterpart ‘Jason’ have gone a long way to regaining public trust in Tyrell’s replicant program.</w:t>
      </w:r>
    </w:p>
    <w:sectPr w:rsidR="00C141EC" w:rsidRPr="00C141EC" w:rsidSect="00567D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EC"/>
    <w:rsid w:val="00016CBA"/>
    <w:rsid w:val="000229D6"/>
    <w:rsid w:val="00113E8A"/>
    <w:rsid w:val="00195687"/>
    <w:rsid w:val="001D0379"/>
    <w:rsid w:val="00293E85"/>
    <w:rsid w:val="00342472"/>
    <w:rsid w:val="00374AEC"/>
    <w:rsid w:val="003D212C"/>
    <w:rsid w:val="00401F1C"/>
    <w:rsid w:val="00567D62"/>
    <w:rsid w:val="00590B24"/>
    <w:rsid w:val="005C5D84"/>
    <w:rsid w:val="00634365"/>
    <w:rsid w:val="006B7E5F"/>
    <w:rsid w:val="00735B92"/>
    <w:rsid w:val="00AA6530"/>
    <w:rsid w:val="00B334AB"/>
    <w:rsid w:val="00C141EC"/>
    <w:rsid w:val="00C43F49"/>
    <w:rsid w:val="00CE531A"/>
    <w:rsid w:val="00D033B2"/>
    <w:rsid w:val="00D30CC5"/>
    <w:rsid w:val="00DD71BB"/>
    <w:rsid w:val="00E041FB"/>
    <w:rsid w:val="00EF5942"/>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D898C-13A5-4259-A650-3FC900A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Lawn, Michael (2007)</dc:creator>
  <cp:keywords/>
  <dc:description/>
  <cp:lastModifiedBy>Lawn, Michael (2007)</cp:lastModifiedBy>
  <cp:revision>2</cp:revision>
  <dcterms:created xsi:type="dcterms:W3CDTF">2016-04-24T01:38:00Z</dcterms:created>
  <dcterms:modified xsi:type="dcterms:W3CDTF">2016-04-24T01:38:00Z</dcterms:modified>
</cp:coreProperties>
</file>